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tabs>
          <w:tab w:val="center" w:leader="none" w:pos="4513"/>
          <w:tab w:val="right" w:leader="none" w:pos="9026"/>
        </w:tabs>
        <w:spacing w:after="0" w:before="0" w:line="240" w:lineRule="auto"/>
        <w:ind w:left="0" w:right="0" w:firstLine="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right="0" w:hanging="360"/>
        <w:jc w:val="left"/>
        <w:rPr>
          <w:b w:val="0"/>
          <w:i w:val="0"/>
          <w:smallCaps w:val="1"/>
          <w:strike w:val="0"/>
          <w:color w:val="000000"/>
          <w:vertAlign w:val="baseline"/>
        </w:rPr>
      </w:pPr>
      <w:r w:rsidDel="00000000" w:rsidR="00000000" w:rsidRPr="00000000">
        <w:rPr>
          <w:rFonts w:ascii="Arial Bold" w:cs="Arial Bold" w:eastAsia="Arial Bold" w:hAnsi="Arial Bold"/>
          <w:smallCaps w:val="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tabs>
          <w:tab w:val="left" w:leader="none" w:pos="1134"/>
        </w:tabs>
        <w:spacing w:after="120" w:before="120" w:lineRule="auto"/>
        <w:ind w:left="644" w:hanging="359.99999999999994"/>
        <w:jc w:val="left"/>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means the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 (Key Sub-contractors,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Guaranto</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and the Monitored Suppliers if appropriate</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08.6614173228347" w:right="0" w:hanging="708.6614173228347"/>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b w:val="0"/>
          <w:i w:val="0"/>
          <w:smallCaps w:val="1"/>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r w:rsidDel="00000000" w:rsidR="00000000" w:rsidRPr="00000000">
        <w:rPr>
          <w:rtl w:val="0"/>
        </w:rPr>
      </w:r>
    </w:p>
    <w:tbl>
      <w:tblPr>
        <w:tblStyle w:val="Table2"/>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0"/>
        <w:gridCol w:w="2205"/>
        <w:gridCol w:w="1560"/>
        <w:gridCol w:w="3630"/>
        <w:tblGridChange w:id="0">
          <w:tblGrid>
            <w:gridCol w:w="1620"/>
            <w:gridCol w:w="2205"/>
            <w:gridCol w:w="1560"/>
            <w:gridCol w:w="3630"/>
          </w:tblGrid>
        </w:tblGridChange>
      </w:tblGrid>
      <w:tr>
        <w:trPr>
          <w:cantSplit w:val="0"/>
          <w:tblHeader w:val="0"/>
        </w:trPr>
        <w:tc>
          <w:tcPr>
            <w:shd w:fill="d9d9d9" w:val="clear"/>
            <w:vAlign w:val="cente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p>
        </w:tc>
      </w:tr>
      <w:tr>
        <w:trPr>
          <w:cantSplit w:val="0"/>
          <w:tblHeader w:val="0"/>
        </w:trPr>
        <w:tc>
          <w:tcP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Turnover ratio</w:t>
            </w:r>
            <w:r w:rsidDel="00000000" w:rsidR="00000000" w:rsidRPr="00000000">
              <w:rPr>
                <w:rtl w:val="0"/>
              </w:rPr>
            </w:r>
          </w:p>
        </w:tc>
        <w:tc>
          <w:tcP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Turnover Ratio =Total Income/Annual Contract Value</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 3.0 times</w:t>
            </w:r>
            <w:r w:rsidDel="00000000" w:rsidR="00000000" w:rsidRPr="00000000">
              <w:rPr>
                <w:rtl w:val="0"/>
              </w:rPr>
            </w:r>
          </w:p>
        </w:tc>
        <w:tc>
          <w:tcPr>
            <w:vAlign w:val="center"/>
          </w:tcPr>
          <w:p w:rsidR="00000000" w:rsidDel="00000000" w:rsidP="00000000" w:rsidRDefault="00000000" w:rsidRPr="00000000" w14:paraId="00000063">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120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2</w:t>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tl w:val="0"/>
              </w:rPr>
            </w:r>
          </w:p>
        </w:tc>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Operating Margin = Operating Profit/ Revenue</w:t>
            </w:r>
          </w:p>
        </w:tc>
        <w:tc>
          <w:tcP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tc>
        <w:tc>
          <w:tcP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 120  days of each accounting reference </w:t>
            </w:r>
            <w:r w:rsidDel="00000000" w:rsidR="00000000" w:rsidRPr="00000000">
              <w:rPr>
                <w:rFonts w:ascii="Arial" w:cs="Arial" w:eastAsia="Arial" w:hAnsi="Arial"/>
                <w:i w:val="1"/>
                <w:sz w:val="24"/>
                <w:szCs w:val="24"/>
                <w:rtl w:val="0"/>
              </w:rPr>
              <w:t xml:space="preserve">date based</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p>
        </w:tc>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to EBITDA ratio = Net Debt / EBITDA</w:t>
            </w:r>
          </w:p>
        </w:tc>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2.5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yearly  in arrears within 120 days of each accounting reference </w:t>
            </w:r>
            <w:r w:rsidDel="00000000" w:rsidR="00000000" w:rsidRPr="00000000">
              <w:rPr>
                <w:rFonts w:ascii="Arial" w:cs="Arial" w:eastAsia="Arial" w:hAnsi="Arial"/>
                <w:i w:val="1"/>
                <w:sz w:val="24"/>
                <w:szCs w:val="24"/>
                <w:rtl w:val="0"/>
              </w:rPr>
              <w:t xml:space="preserve">date based</w:t>
            </w:r>
            <w:r w:rsidDel="00000000" w:rsidR="00000000" w:rsidRPr="00000000">
              <w:rPr>
                <w:rFonts w:ascii="Arial" w:cs="Arial" w:eastAsia="Arial" w:hAnsi="Arial"/>
                <w:b w:val="0"/>
                <w:i w:val="1"/>
                <w:smallCaps w:val="0"/>
                <w:strike w:val="0"/>
                <w:sz w:val="24"/>
                <w:szCs w:val="24"/>
                <w:u w:val="none"/>
                <w:vertAlign w:val="baseline"/>
                <w:rtl w:val="0"/>
              </w:rPr>
              <w:t xml:space="preserve"> upon 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sz w:val="24"/>
                <w:szCs w:val="24"/>
                <w:rtl w:val="0"/>
              </w:rPr>
              <w:t xml:space="preserve">4</w:t>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i w:val="0"/>
                <w:smallCaps w:val="0"/>
                <w:strike w:val="0"/>
                <w:sz w:val="24"/>
                <w:szCs w:val="24"/>
                <w:u w:val="none"/>
                <w:vertAlign w:val="baseline"/>
                <w:rtl w:val="0"/>
              </w:rPr>
              <w:t xml:space="preserve">Net Interest Paid Cover</w:t>
            </w:r>
          </w:p>
        </w:tc>
        <w:tc>
          <w:tcPr>
            <w:vAlign w:val="cente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4</w:t>
            </w:r>
            <w:r w:rsidDel="00000000" w:rsidR="00000000" w:rsidRPr="00000000">
              <w:rPr>
                <w:rFonts w:ascii="Arial" w:cs="Arial" w:eastAsia="Arial" w:hAnsi="Arial"/>
                <w:b w:val="0"/>
                <w:i w:val="1"/>
                <w:smallCaps w:val="0"/>
                <w:strike w:val="0"/>
                <w:sz w:val="24"/>
                <w:szCs w:val="24"/>
                <w:u w:val="none"/>
                <w:vertAlign w:val="baseline"/>
                <w:rtl w:val="0"/>
              </w:rPr>
              <w:t xml:space="preserve"> times</w:t>
            </w:r>
          </w:p>
        </w:tc>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yearly  in arrears within 120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sz w:val="24"/>
                <w:szCs w:val="24"/>
                <w:rtl w:val="0"/>
              </w:rPr>
              <w:t xml:space="preserve">5</w:t>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i w:val="0"/>
                <w:smallCaps w:val="0"/>
                <w:strike w:val="0"/>
                <w:sz w:val="24"/>
                <w:szCs w:val="24"/>
                <w:u w:val="none"/>
                <w:vertAlign w:val="baseline"/>
                <w:rtl w:val="0"/>
              </w:rPr>
              <w:t xml:space="preserve">Acid Ratio</w:t>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Acid Ratio = (Current Assets – Inventories) / Current Liabilities</w:t>
            </w:r>
          </w:p>
        </w:tc>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2.0</w:t>
            </w:r>
            <w:r w:rsidDel="00000000" w:rsidR="00000000" w:rsidRPr="00000000">
              <w:rPr>
                <w:rFonts w:ascii="Arial" w:cs="Arial" w:eastAsia="Arial" w:hAnsi="Arial"/>
                <w:b w:val="0"/>
                <w:i w:val="1"/>
                <w:smallCaps w:val="0"/>
                <w:strike w:val="0"/>
                <w:sz w:val="24"/>
                <w:szCs w:val="24"/>
                <w:u w:val="none"/>
                <w:vertAlign w:val="baseline"/>
                <w:rtl w:val="0"/>
              </w:rPr>
              <w:t xml:space="preserve"> times</w:t>
            </w:r>
          </w:p>
        </w:tc>
        <w:tc>
          <w:tcP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yearly in arrears within 120  days of each accounting reference date based upon figures at the relevant accounting reference date </w:t>
            </w:r>
          </w:p>
        </w:tc>
      </w:tr>
      <w:tr>
        <w:trPr>
          <w:cantSplit w:val="0"/>
          <w:tblHeader w:val="0"/>
        </w:trPr>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sz w:val="24"/>
                <w:szCs w:val="24"/>
                <w:rtl w:val="0"/>
              </w:rPr>
              <w:t xml:space="preserve">6</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i w:val="0"/>
                <w:smallCaps w:val="0"/>
                <w:strike w:val="0"/>
                <w:sz w:val="24"/>
                <w:szCs w:val="24"/>
                <w:u w:val="none"/>
                <w:vertAlign w:val="baseline"/>
                <w:rtl w:val="0"/>
              </w:rPr>
              <w:t xml:space="preserve">Net Asset value</w:t>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Net Asset Value = Net Assets</w:t>
            </w:r>
          </w:p>
        </w:tc>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&gt; £0</w:t>
            </w:r>
          </w:p>
        </w:tc>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yearly in arrears within 120 days of each accounting reference date based upon figures at the relevant accounting reference date</w:t>
            </w:r>
          </w:p>
        </w:tc>
      </w:tr>
    </w:tb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Monitored Suppliers </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Entity 1 Key Sub-Contractor</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 Operating Margin]</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 Acid Ratio]</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 Net Asset Value] </w:t>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Entity 2 - GEO Group Member</w:t>
            </w:r>
            <w:r w:rsidDel="00000000" w:rsidR="00000000" w:rsidRPr="00000000">
              <w:rPr>
                <w:rtl w:val="0"/>
              </w:rPr>
            </w:r>
          </w:p>
        </w:tc>
        <w:tc>
          <w:tcPr/>
          <w:p w:rsidR="00000000" w:rsidDel="00000000" w:rsidP="00000000" w:rsidRDefault="00000000" w:rsidRPr="00000000" w14:paraId="0000008F">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 Operating Margin]</w:t>
            </w:r>
          </w:p>
          <w:p w:rsidR="00000000" w:rsidDel="00000000" w:rsidP="00000000" w:rsidRDefault="00000000" w:rsidRPr="00000000" w14:paraId="00000090">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 Acid Ratio]</w:t>
            </w:r>
          </w:p>
          <w:p w:rsidR="00000000" w:rsidDel="00000000" w:rsidP="00000000" w:rsidRDefault="00000000" w:rsidRPr="00000000" w14:paraId="00000091">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 Net Asset Value] </w:t>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Entity 3 - Parent Company /</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Ultimate Parent/ Guarantor</w:t>
            </w:r>
            <w:r w:rsidDel="00000000" w:rsidR="00000000" w:rsidRPr="00000000">
              <w:rPr>
                <w:rtl w:val="0"/>
              </w:rPr>
            </w:r>
          </w:p>
        </w:tc>
        <w:tc>
          <w:tcPr/>
          <w:p w:rsidR="00000000" w:rsidDel="00000000" w:rsidP="00000000" w:rsidRDefault="00000000" w:rsidRPr="00000000" w14:paraId="00000094">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 Operating Margin]</w:t>
            </w:r>
          </w:p>
          <w:p w:rsidR="00000000" w:rsidDel="00000000" w:rsidP="00000000" w:rsidRDefault="00000000" w:rsidRPr="00000000" w14:paraId="00000095">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 Acid Ratio]</w:t>
            </w:r>
          </w:p>
          <w:p w:rsidR="00000000" w:rsidDel="00000000" w:rsidP="00000000" w:rsidRDefault="00000000" w:rsidRPr="00000000" w14:paraId="00000096">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 Net Asset Value] </w:t>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08.6614173228347" w:right="0" w:hanging="708.6614173228347"/>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r w:rsidDel="00000000" w:rsidR="00000000" w:rsidRPr="00000000">
        <w:rPr>
          <w:rtl w:val="0"/>
        </w:rPr>
      </w:r>
    </w:p>
    <w:p w:rsidR="00000000" w:rsidDel="00000000" w:rsidP="00000000" w:rsidRDefault="00000000" w:rsidRPr="00000000" w14:paraId="000000A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0" w:right="0" w:firstLine="0"/>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r w:rsidDel="00000000" w:rsidR="00000000" w:rsidRPr="00000000">
        <w:rPr>
          <w:rtl w:val="0"/>
        </w:rPr>
      </w:r>
    </w:p>
    <w:p w:rsidR="00000000" w:rsidDel="00000000" w:rsidP="00000000" w:rsidRDefault="00000000" w:rsidRPr="00000000" w14:paraId="000000A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D">
      <w:pPr>
        <w:keepNext w:val="1"/>
        <w:spacing w:after="120" w:before="240" w:lineRule="auto"/>
        <w:ind w:left="142" w:firstLine="0"/>
        <w:jc w:val="left"/>
        <w:rPr>
          <w:rFonts w:ascii="Arial" w:cs="Arial" w:eastAsia="Arial" w:hAnsi="Arial"/>
          <w:b w:val="0"/>
          <w:i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sz w:val="24"/>
            <w:szCs w:val="24"/>
            <w:highlight w:val="white"/>
            <w:rtl w:val="0"/>
          </w:rPr>
          <w:t xml:space="preserve">Dun &amp; Bradstreet</w:t>
        </w:r>
      </w:hyperlink>
      <w:r w:rsidDel="00000000" w:rsidR="00000000" w:rsidRPr="00000000">
        <w:rPr>
          <w:rtl w:val="0"/>
        </w:rPr>
      </w:r>
    </w:p>
    <w:p w:rsidR="00000000" w:rsidDel="00000000" w:rsidP="00000000" w:rsidRDefault="00000000" w:rsidRPr="00000000" w14:paraId="000000A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w:t>
            </w:r>
          </w:p>
        </w:tc>
        <w:tc>
          <w:tcPr>
            <w:shd w:fill="ffffff" w:val="clear"/>
          </w:tcPr>
          <w:p w:rsidR="00000000" w:rsidDel="00000000" w:rsidP="00000000" w:rsidRDefault="00000000" w:rsidRPr="00000000" w14:paraId="000000B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[Guarantor]</w:t>
            </w:r>
          </w:p>
        </w:tc>
        <w:tc>
          <w:tcPr>
            <w:shd w:fill="ffffff" w:val="clear"/>
          </w:tcPr>
          <w:p w:rsidR="00000000" w:rsidDel="00000000" w:rsidP="00000000" w:rsidRDefault="00000000" w:rsidRPr="00000000" w14:paraId="000000B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bl>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3"/>
      <w:bookmarkEnd w:id="3"/>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Turnover/Contract Value</w:t>
            </w:r>
            <w:r w:rsidDel="00000000" w:rsidR="00000000" w:rsidRPr="00000000">
              <w:rPr>
                <w:rtl w:val="0"/>
              </w:rPr>
            </w:r>
          </w:p>
        </w:tc>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202124"/>
                <w:sz w:val="24"/>
                <w:szCs w:val="24"/>
                <w:highlight w:val="white"/>
              </w:rPr>
            </w:pPr>
            <w:r w:rsidDel="00000000" w:rsidR="00000000" w:rsidRPr="00000000">
              <w:rPr>
                <w:rFonts w:ascii="Arial" w:cs="Arial" w:eastAsia="Arial" w:hAnsi="Arial"/>
                <w:color w:val="202124"/>
                <w:sz w:val="24"/>
                <w:szCs w:val="24"/>
                <w:highlight w:val="white"/>
                <w:rtl w:val="0"/>
              </w:rPr>
              <w:t xml:space="preserve">Revenue should be shown on the face of the Income</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202124"/>
                <w:sz w:val="24"/>
                <w:szCs w:val="24"/>
                <w:highlight w:val="white"/>
              </w:rPr>
            </w:pPr>
            <w:r w:rsidDel="00000000" w:rsidR="00000000" w:rsidRPr="00000000">
              <w:rPr>
                <w:rFonts w:ascii="Arial" w:cs="Arial" w:eastAsia="Arial" w:hAnsi="Arial"/>
                <w:color w:val="202124"/>
                <w:sz w:val="24"/>
                <w:szCs w:val="24"/>
                <w:highlight w:val="white"/>
                <w:rtl w:val="0"/>
              </w:rPr>
              <w:t xml:space="preserve">Statement in a standard set of financial statements. It</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202124"/>
                <w:sz w:val="24"/>
                <w:szCs w:val="24"/>
                <w:highlight w:val="white"/>
              </w:rPr>
            </w:pPr>
            <w:r w:rsidDel="00000000" w:rsidR="00000000" w:rsidRPr="00000000">
              <w:rPr>
                <w:rFonts w:ascii="Arial" w:cs="Arial" w:eastAsia="Arial" w:hAnsi="Arial"/>
                <w:color w:val="202124"/>
                <w:sz w:val="24"/>
                <w:szCs w:val="24"/>
                <w:highlight w:val="white"/>
                <w:rtl w:val="0"/>
              </w:rPr>
              <w:t xml:space="preserve">should exclude the entity’s share of the revenue of joint</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8"/>
                <w:szCs w:val="28"/>
                <w:highlight w:val="yellow"/>
              </w:rPr>
            </w:pPr>
            <w:r w:rsidDel="00000000" w:rsidR="00000000" w:rsidRPr="00000000">
              <w:rPr>
                <w:rFonts w:ascii="Arial" w:cs="Arial" w:eastAsia="Arial" w:hAnsi="Arial"/>
                <w:color w:val="202124"/>
                <w:sz w:val="24"/>
                <w:szCs w:val="24"/>
                <w:highlight w:val="white"/>
                <w:rtl w:val="0"/>
              </w:rPr>
              <w:t xml:space="preserve">ventures or associates.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2</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Figures for Operating Profit and Revenue should exclude the entity’s share of the results of any joint ventures or Associates.</w:t>
            </w:r>
          </w:p>
        </w:tc>
      </w:tr>
      <w:tr>
        <w:trPr>
          <w:cantSplit w:val="0"/>
          <w:tblHeader w:val="0"/>
        </w:trPr>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3</w:t>
            </w: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p>
        </w:tc>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Operating profit + Depreciation charge + Amortisation charge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bookmarkStart w:colFirst="0" w:colLast="0" w:name="_heading=h.1pxezwc" w:id="4"/>
            <w:bookmarkEnd w:id="4"/>
            <w:r w:rsidDel="00000000" w:rsidR="00000000" w:rsidRPr="00000000">
              <w:rPr>
                <w:rFonts w:ascii="Arial" w:cs="Arial" w:eastAsia="Arial" w:hAnsi="Arial"/>
                <w:b w:val="0"/>
                <w:i w:val="1"/>
                <w:smallCaps w:val="0"/>
                <w:strike w:val="0"/>
                <w:color w:val="000000"/>
                <w:sz w:val="24"/>
                <w:szCs w:val="24"/>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4</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Interest Paid Cover</w:t>
            </w:r>
          </w:p>
        </w:tc>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Operating profit</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Interest paid – Interest received</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Interest received and interest paid should be shown on the face of the Cash Flow statement.</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5</w:t>
            </w: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Acid Ratio</w:t>
            </w:r>
          </w:p>
        </w:tc>
        <w:tc>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6</w:t>
            </w: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Asset value</w:t>
            </w:r>
          </w:p>
        </w:tc>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b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p2csry" w:id="5"/>
      <w:bookmarkEnd w:id="5"/>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i w:val="0"/>
          <w:smallCaps w:val="0"/>
          <w:strike w:val="0"/>
          <w:color w:val="000000"/>
          <w:sz w:val="24"/>
          <w:szCs w:val="24"/>
          <w:u w:val="none"/>
          <w:shd w:fill="auto" w:val="clear"/>
          <w:vertAlign w:val="baseline"/>
        </w:rPr>
      </w:pPr>
      <w:bookmarkStart w:colFirst="0" w:colLast="0" w:name="_heading=h.147n2zr" w:id="6"/>
      <w:bookmarkEnd w:id="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0E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FD">
      <w:pPr>
        <w:spacing w:after="200" w:line="276" w:lineRule="auto"/>
        <w:jc w:val="left"/>
        <w:rPr>
          <w:rFonts w:ascii="Arial" w:cs="Arial" w:eastAsia="Arial" w:hAnsi="Arial"/>
          <w:b w:val="1"/>
          <w:smallCaps w:val="1"/>
          <w:sz w:val="38"/>
          <w:szCs w:val="38"/>
        </w:rPr>
      </w:pPr>
      <w:r w:rsidDel="00000000" w:rsidR="00000000" w:rsidRPr="00000000">
        <w:rPr>
          <w:rFonts w:ascii="Arial" w:cs="Arial" w:eastAsia="Arial" w:hAnsi="Arial"/>
          <w:b w:val="1"/>
          <w:smallCaps w:val="1"/>
          <w:sz w:val="38"/>
          <w:szCs w:val="38"/>
          <w:rtl w:val="0"/>
        </w:rPr>
        <w:t xml:space="preserve">ANNEX 5: OPTIONAL CLAUSES FOR BRONZE CONTRACTS</w:t>
      </w:r>
    </w:p>
    <w:p w:rsidR="00000000" w:rsidDel="00000000" w:rsidP="00000000" w:rsidRDefault="00000000" w:rsidRPr="00000000" w14:paraId="000000F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FF">
      <w:pPr>
        <w:keepNext w:val="1"/>
        <w:keepLines w:val="0"/>
        <w:pageBreakBefore w:val="0"/>
        <w:widowControl w:val="1"/>
        <w:numPr>
          <w:ilvl w:val="1"/>
          <w:numId w:val="3"/>
        </w:numPr>
        <w:pBdr>
          <w:top w:space="0" w:sz="0" w:val="nil"/>
          <w:left w:space="0" w:sz="0" w:val="nil"/>
          <w:bottom w:space="0" w:sz="0" w:val="nil"/>
          <w:right w:space="0" w:sz="0" w:val="nil"/>
          <w:between w:space="0" w:sz="0" w:val="nil"/>
        </w:pBdr>
        <w:tabs>
          <w:tab w:val="right" w:leader="none" w:pos="425.19685039370074"/>
          <w:tab w:val="left" w:leader="none" w:pos="555"/>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In this Annex 5, the following words shall have the following meanings and they shall supplement Joint Schedule 1 (Definitions):</w:t>
      </w:r>
      <w:r w:rsidDel="00000000" w:rsidR="00000000" w:rsidRPr="00000000">
        <w:rPr>
          <w:rtl w:val="0"/>
        </w:rPr>
      </w:r>
    </w:p>
    <w:tbl>
      <w:tblPr>
        <w:tblStyle w:val="Table6"/>
        <w:tblW w:w="801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5"/>
        <w:gridCol w:w="5085"/>
        <w:tblGridChange w:id="0">
          <w:tblGrid>
            <w:gridCol w:w="2925"/>
            <w:gridCol w:w="5085"/>
          </w:tblGrid>
        </w:tblGridChange>
      </w:tblGrid>
      <w:tr>
        <w:trPr>
          <w:cantSplit w:val="0"/>
          <w:tblHeader w:val="0"/>
        </w:trPr>
        <w:tc>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"Credit Rating Threshold"</w:t>
            </w:r>
            <w:r w:rsidDel="00000000" w:rsidR="00000000" w:rsidRPr="00000000">
              <w:rPr>
                <w:rtl w:val="0"/>
              </w:rPr>
            </w:r>
          </w:p>
        </w:tc>
        <w:tc>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tabs>
                <w:tab w:val="left" w:leader="none" w:pos="175"/>
              </w:tabs>
              <w:spacing w:after="120" w:before="0" w:line="240" w:lineRule="auto"/>
              <w:ind w:left="17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"Financial Distress Event"</w:t>
            </w:r>
            <w:r w:rsidDel="00000000" w:rsidR="00000000" w:rsidRPr="00000000">
              <w:rPr>
                <w:rtl w:val="0"/>
              </w:rPr>
            </w:r>
          </w:p>
        </w:tc>
        <w:tc>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tabs>
                <w:tab w:val="left" w:leader="none" w:pos="175"/>
              </w:tabs>
              <w:spacing w:after="120" w:before="0" w:line="240" w:lineRule="auto"/>
              <w:ind w:left="165"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occurrence or one or more of the following events:</w:t>
            </w:r>
          </w:p>
          <w:p w:rsidR="00000000" w:rsidDel="00000000" w:rsidP="00000000" w:rsidRDefault="00000000" w:rsidRPr="00000000" w14:paraId="00000104">
            <w:pPr>
              <w:keepNext w:val="0"/>
              <w:keepLines w:val="0"/>
              <w:widowControl w:val="1"/>
              <w:numPr>
                <w:ilvl w:val="1"/>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 credit rating of the Monitored Company dropping below the applicable Credit Rating Threshold;</w:t>
            </w:r>
            <w:r w:rsidDel="00000000" w:rsidR="00000000" w:rsidRPr="00000000">
              <w:rPr>
                <w:rtl w:val="0"/>
              </w:rPr>
            </w:r>
          </w:p>
          <w:p w:rsidR="00000000" w:rsidDel="00000000" w:rsidP="00000000" w:rsidRDefault="00000000" w:rsidRPr="00000000" w14:paraId="00000105">
            <w:pPr>
              <w:keepNext w:val="0"/>
              <w:keepLines w:val="0"/>
              <w:widowControl w:val="1"/>
              <w:numPr>
                <w:ilvl w:val="1"/>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r w:rsidDel="00000000" w:rsidR="00000000" w:rsidRPr="00000000">
              <w:rPr>
                <w:rtl w:val="0"/>
              </w:rPr>
            </w:r>
          </w:p>
          <w:p w:rsidR="00000000" w:rsidDel="00000000" w:rsidP="00000000" w:rsidRDefault="00000000" w:rsidRPr="00000000" w14:paraId="00000106">
            <w:pPr>
              <w:keepNext w:val="0"/>
              <w:keepLines w:val="0"/>
              <w:widowControl w:val="1"/>
              <w:numPr>
                <w:ilvl w:val="1"/>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Party; </w:t>
            </w:r>
            <w:r w:rsidDel="00000000" w:rsidR="00000000" w:rsidRPr="00000000">
              <w:rPr>
                <w:rtl w:val="0"/>
              </w:rPr>
            </w:r>
          </w:p>
          <w:p w:rsidR="00000000" w:rsidDel="00000000" w:rsidP="00000000" w:rsidRDefault="00000000" w:rsidRPr="00000000" w14:paraId="00000107">
            <w:pPr>
              <w:keepNext w:val="0"/>
              <w:keepLines w:val="0"/>
              <w:widowControl w:val="1"/>
              <w:numPr>
                <w:ilvl w:val="1"/>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Monitored Company committing a material breach of covenant to its lenders; </w:t>
            </w:r>
            <w:r w:rsidDel="00000000" w:rsidR="00000000" w:rsidRPr="00000000">
              <w:rPr>
                <w:rtl w:val="0"/>
              </w:rPr>
            </w:r>
          </w:p>
          <w:p w:rsidR="00000000" w:rsidDel="00000000" w:rsidP="00000000" w:rsidRDefault="00000000" w:rsidRPr="00000000" w14:paraId="00000108">
            <w:pPr>
              <w:keepNext w:val="0"/>
              <w:keepLines w:val="0"/>
              <w:widowControl w:val="1"/>
              <w:numPr>
                <w:ilvl w:val="1"/>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r w:rsidDel="00000000" w:rsidR="00000000" w:rsidRPr="00000000">
              <w:rPr>
                <w:rtl w:val="0"/>
              </w:rPr>
            </w:r>
          </w:p>
          <w:p w:rsidR="00000000" w:rsidDel="00000000" w:rsidP="00000000" w:rsidRDefault="00000000" w:rsidRPr="00000000" w14:paraId="00000109">
            <w:pPr>
              <w:keepNext w:val="0"/>
              <w:keepLines w:val="0"/>
              <w:widowControl w:val="1"/>
              <w:numPr>
                <w:ilvl w:val="1"/>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720" w:right="0" w:hanging="544"/>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any of the following:</w:t>
            </w:r>
            <w:r w:rsidDel="00000000" w:rsidR="00000000" w:rsidRPr="00000000">
              <w:rPr>
                <w:rtl w:val="0"/>
              </w:rPr>
            </w:r>
          </w:p>
          <w:p w:rsidR="00000000" w:rsidDel="00000000" w:rsidP="00000000" w:rsidRDefault="00000000" w:rsidRPr="00000000" w14:paraId="0000010A">
            <w:pPr>
              <w:keepNext w:val="0"/>
              <w:keepLines w:val="0"/>
              <w:widowControl w:val="1"/>
              <w:numPr>
                <w:ilvl w:val="2"/>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708.6614173228347"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 </w:t>
            </w:r>
            <w:r w:rsidDel="00000000" w:rsidR="00000000" w:rsidRPr="00000000">
              <w:rPr>
                <w:rtl w:val="0"/>
              </w:rPr>
            </w:r>
          </w:p>
          <w:p w:rsidR="00000000" w:rsidDel="00000000" w:rsidP="00000000" w:rsidRDefault="00000000" w:rsidRPr="00000000" w14:paraId="0000010B">
            <w:pPr>
              <w:keepNext w:val="0"/>
              <w:keepLines w:val="0"/>
              <w:widowControl w:val="1"/>
              <w:numPr>
                <w:ilvl w:val="2"/>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708.6614173228347"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non-payment by the Monitored Company of any financial indebtedness;</w:t>
            </w:r>
            <w:r w:rsidDel="00000000" w:rsidR="00000000" w:rsidRPr="00000000">
              <w:rPr>
                <w:rtl w:val="0"/>
              </w:rPr>
            </w:r>
          </w:p>
          <w:p w:rsidR="00000000" w:rsidDel="00000000" w:rsidP="00000000" w:rsidRDefault="00000000" w:rsidRPr="00000000" w14:paraId="0000010C">
            <w:pPr>
              <w:keepNext w:val="0"/>
              <w:keepLines w:val="0"/>
              <w:widowControl w:val="1"/>
              <w:numPr>
                <w:ilvl w:val="2"/>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708.6614173228347"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r w:rsidDel="00000000" w:rsidR="00000000" w:rsidRPr="00000000">
              <w:rPr>
                <w:rtl w:val="0"/>
              </w:rPr>
            </w:r>
          </w:p>
          <w:p w:rsidR="00000000" w:rsidDel="00000000" w:rsidP="00000000" w:rsidRDefault="00000000" w:rsidRPr="00000000" w14:paraId="0000010D">
            <w:pPr>
              <w:keepNext w:val="0"/>
              <w:keepLines w:val="0"/>
              <w:widowControl w:val="1"/>
              <w:numPr>
                <w:ilvl w:val="2"/>
                <w:numId w:val="4"/>
              </w:numPr>
              <w:pBdr>
                <w:top w:space="0" w:sz="0" w:val="nil"/>
                <w:left w:space="0" w:sz="0" w:val="nil"/>
                <w:bottom w:space="0" w:sz="0" w:val="nil"/>
                <w:right w:space="0" w:sz="0" w:val="nil"/>
                <w:between w:space="0" w:sz="0" w:val="nil"/>
              </w:pBdr>
              <w:tabs>
                <w:tab w:val="left" w:leader="none" w:pos="175"/>
              </w:tabs>
              <w:spacing w:after="120" w:before="0" w:line="240" w:lineRule="auto"/>
              <w:ind w:left="708.6614173228347"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 cancellation or suspension of any financial indebtedness in respect of the Monitored Company</w:t>
            </w: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tabs>
                <w:tab w:val="left" w:leader="none" w:pos="175"/>
              </w:tabs>
              <w:spacing w:after="120" w:before="0" w:line="240" w:lineRule="auto"/>
              <w:ind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"Financial Distress Service Continuity Plan"</w:t>
            </w:r>
            <w:r w:rsidDel="00000000" w:rsidR="00000000" w:rsidRPr="00000000">
              <w:rPr>
                <w:rtl w:val="0"/>
              </w:rPr>
            </w:r>
          </w:p>
        </w:tc>
        <w:tc>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tabs>
                <w:tab w:val="left" w:leader="none" w:pos="175"/>
              </w:tabs>
              <w:spacing w:after="120" w:before="0" w:line="240" w:lineRule="auto"/>
              <w:ind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“Monitored Company”</w:t>
            </w:r>
            <w:r w:rsidDel="00000000" w:rsidR="00000000" w:rsidRPr="00000000">
              <w:rPr>
                <w:rtl w:val="0"/>
              </w:rPr>
            </w:r>
          </w:p>
        </w:tc>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tabs>
                <w:tab w:val="left" w:leader="none" w:pos="175"/>
              </w:tabs>
              <w:spacing w:after="120" w:before="0" w:line="240" w:lineRule="auto"/>
              <w:ind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[the Guarantor] or any Key Subcontractor]</w:t>
            </w:r>
          </w:p>
        </w:tc>
      </w:tr>
      <w:tr>
        <w:trPr>
          <w:cantSplit w:val="0"/>
          <w:tblHeader w:val="0"/>
        </w:trPr>
        <w:tc>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"Rating Agencies"</w:t>
            </w:r>
            <w:r w:rsidDel="00000000" w:rsidR="00000000" w:rsidRPr="00000000">
              <w:rPr>
                <w:rtl w:val="0"/>
              </w:rPr>
            </w:r>
          </w:p>
        </w:tc>
        <w:tc>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tabs>
                <w:tab w:val="left" w:leader="none" w:pos="175"/>
              </w:tabs>
              <w:spacing w:after="120" w:before="0" w:line="240" w:lineRule="auto"/>
              <w:ind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rating agencies listed in Appendix 1.</w:t>
            </w:r>
          </w:p>
        </w:tc>
      </w:tr>
    </w:tbl>
    <w:p w:rsidR="00000000" w:rsidDel="00000000" w:rsidP="00000000" w:rsidRDefault="00000000" w:rsidRPr="00000000" w14:paraId="00000115">
      <w:pPr>
        <w:keepNext w:val="1"/>
        <w:keepLines w:val="0"/>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566.9291338582675" w:right="0" w:hanging="566.9291338582675"/>
        <w:jc w:val="left"/>
        <w:rPr>
          <w:i w:val="0"/>
          <w:smallCaps w:val="1"/>
          <w:strike w:val="0"/>
          <w:color w:val="000000"/>
          <w:vertAlign w:val="baseline"/>
        </w:rPr>
      </w:pPr>
      <w:r w:rsidDel="00000000" w:rsidR="00000000" w:rsidRPr="00000000">
        <w:rPr>
          <w:rFonts w:ascii="Arial Bold" w:cs="Arial Bold" w:eastAsia="Arial Bold" w:hAnsi="Arial Bold"/>
          <w:b w:val="1"/>
          <w:smallCaps w:val="0"/>
          <w:sz w:val="24"/>
          <w:szCs w:val="24"/>
          <w:rtl w:val="0"/>
        </w:rPr>
        <w:t xml:space="preserve">When this Schedule applies</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Parties shall comply with the provisions of this Annex 5 in relation to the assessment of the financial standing of the Monitored Companies and the consequences of a change to that financial standing.</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terms of this Annex 5 shall survive: </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under the Call-Off Contract until the termination or expiry of the Call-Off Contract.</w:t>
      </w:r>
      <w:r w:rsidDel="00000000" w:rsidR="00000000" w:rsidRPr="00000000">
        <w:rPr>
          <w:rtl w:val="0"/>
        </w:rPr>
      </w:r>
    </w:p>
    <w:p w:rsidR="00000000" w:rsidDel="00000000" w:rsidP="00000000" w:rsidRDefault="00000000" w:rsidRPr="00000000" w14:paraId="0000011A">
      <w:pPr>
        <w:keepNext w:val="1"/>
        <w:keepLines w:val="0"/>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right="0" w:hanging="360"/>
        <w:jc w:val="left"/>
        <w:rPr>
          <w:b w:val="0"/>
          <w:i w:val="0"/>
          <w:smallCaps w:val="1"/>
          <w:strike w:val="0"/>
          <w:color w:val="000000"/>
          <w:vertAlign w:val="baseline"/>
        </w:rPr>
      </w:pPr>
      <w:r w:rsidDel="00000000" w:rsidR="00000000" w:rsidRPr="00000000">
        <w:rPr>
          <w:rFonts w:ascii="Arial" w:cs="Arial" w:eastAsia="Arial" w:hAnsi="Arial"/>
          <w:sz w:val="24"/>
          <w:szCs w:val="24"/>
          <w:rtl w:val="0"/>
        </w:rPr>
        <w:t xml:space="preserve">W</w:t>
      </w:r>
      <w:r w:rsidDel="00000000" w:rsidR="00000000" w:rsidRPr="00000000">
        <w:rPr>
          <w:rFonts w:ascii="Arial Bold" w:cs="Arial Bold" w:eastAsia="Arial Bold" w:hAnsi="Arial Bold"/>
          <w:smallCaps w:val="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shall promptly (and in any event within five (5) Working Days) notify the Relevant Authority in writing if there is any downgrade in the credit rating issued by any Rating Agency for a Monitored Company.</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r w:rsidDel="00000000" w:rsidR="00000000" w:rsidRPr="00000000">
        <w:rPr>
          <w:rtl w:val="0"/>
        </w:rPr>
      </w:r>
    </w:p>
    <w:p w:rsidR="00000000" w:rsidDel="00000000" w:rsidP="00000000" w:rsidRDefault="00000000" w:rsidRPr="00000000" w14:paraId="0000011E">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8"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9"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72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7"/>
        <w:tblW w:w="8310.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20"/>
        <w:gridCol w:w="5790"/>
        <w:tblGridChange w:id="0">
          <w:tblGrid>
            <w:gridCol w:w="2520"/>
            <w:gridCol w:w="5790"/>
          </w:tblGrid>
        </w:tblGridChange>
      </w:tblGrid>
      <w:tr>
        <w:trPr>
          <w:cantSplit w:val="0"/>
          <w:tblHeader w:val="0"/>
        </w:trPr>
        <w:tc>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p>
        </w:tc>
        <w:tc>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1134" w:right="0"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p>
        </w:tc>
        <w:tc>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r>
          </w:p>
        </w:tc>
        <w:tc>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p>
        </w:tc>
        <w:tc>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tabs>
                <w:tab w:val="left" w:leader="none"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the current liabilities of the Monitored Company].</w:t>
            </w:r>
          </w:p>
        </w:tc>
      </w:tr>
    </w:tbl>
    <w:p w:rsidR="00000000" w:rsidDel="00000000" w:rsidP="00000000" w:rsidRDefault="00000000" w:rsidRPr="00000000" w14:paraId="00000128">
      <w:pPr>
        <w:keepNext w:val="1"/>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566.9291338582675" w:right="0" w:hanging="566.9291338582675"/>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shall: </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566.9291338582675"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regularly monitor the credit ratings of each Monitored Company with the Rating Agencies; and </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566.9291338582675"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644" w:right="0" w:hanging="36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r w:rsidDel="00000000" w:rsidR="00000000" w:rsidRPr="00000000">
        <w:rPr>
          <w:rtl w:val="0"/>
        </w:rPr>
      </w:r>
    </w:p>
    <w:p w:rsidR="00000000" w:rsidDel="00000000" w:rsidP="00000000" w:rsidRDefault="00000000" w:rsidRPr="00000000" w14:paraId="0000012C">
      <w:pPr>
        <w:keepNext w:val="1"/>
        <w:keepLines w:val="0"/>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right="0" w:hanging="360"/>
        <w:jc w:val="left"/>
        <w:rPr>
          <w:b w:val="0"/>
          <w:i w:val="0"/>
          <w:smallCaps w:val="1"/>
          <w:strike w:val="0"/>
          <w:color w:val="000000"/>
          <w:vertAlign w:val="baseline"/>
        </w:rPr>
      </w:pPr>
      <w:r w:rsidDel="00000000" w:rsidR="00000000" w:rsidRPr="00000000">
        <w:rPr>
          <w:rFonts w:ascii="Arial Bold" w:cs="Arial Bold" w:eastAsia="Arial Bold" w:hAnsi="Arial Bold"/>
          <w:smallCaps w:val="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rectify such late or non-payment; or </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demonstrate to the Relevant Authority's reasonable satisfaction that there is a valid reason for late or non-payment.]</w:t>
      </w:r>
      <w:r w:rsidDel="00000000" w:rsidR="00000000" w:rsidRPr="00000000">
        <w:rPr>
          <w:rtl w:val="0"/>
        </w:rPr>
      </w:r>
    </w:p>
    <w:p w:rsidR="00000000" w:rsidDel="00000000" w:rsidP="00000000" w:rsidRDefault="00000000" w:rsidRPr="00000000" w14:paraId="00000131">
      <w:pPr>
        <w:keepNext w:val="1"/>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shall and shall procure that the other Monitored Companies shall:</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3"/>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417.3228346456694" w:right="0" w:firstLine="0"/>
        <w:jc w:val="left"/>
        <w:rPr>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3"/>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417.3228346456694" w:right="0" w:firstLine="0"/>
        <w:jc w:val="left"/>
        <w:rPr>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provide such financial information relating to the Monitored Company as the Relevant Authority may reasonably require.</w:t>
      </w: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r w:rsidDel="00000000" w:rsidR="00000000" w:rsidRPr="00000000">
        <w:rPr>
          <w:rtl w:val="0"/>
        </w:rPr>
      </w:r>
    </w:p>
    <w:p w:rsidR="00000000" w:rsidDel="00000000" w:rsidP="00000000" w:rsidRDefault="00000000" w:rsidRPr="00000000" w14:paraId="00000138">
      <w:pPr>
        <w:keepNext w:val="1"/>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Following Approval of the Financial Distress Service Continuity Plan by the Relevant Authority, the Supplier shall:</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comply with the Financial Distress Service Continuity Plan (including any updated Financial Distress Service Continuity Plan).</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CCS shall be able to share any information it receives from the Buyer in accordance with this Paragraph with any Buyer who has entered into a Call-Off Contract with the Supplier.</w:t>
      </w:r>
      <w:r w:rsidDel="00000000" w:rsidR="00000000" w:rsidRPr="00000000">
        <w:rPr>
          <w:rtl w:val="0"/>
        </w:rPr>
      </w:r>
    </w:p>
    <w:p w:rsidR="00000000" w:rsidDel="00000000" w:rsidP="00000000" w:rsidRDefault="00000000" w:rsidRPr="00000000" w14:paraId="0000013E">
      <w:pPr>
        <w:keepNext w:val="1"/>
        <w:keepLines w:val="0"/>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708.6614173228347" w:right="0" w:hanging="708.6614173228347"/>
        <w:jc w:val="left"/>
        <w:rPr>
          <w:b w:val="0"/>
          <w:i w:val="0"/>
          <w:smallCaps w:val="1"/>
          <w:strike w:val="0"/>
          <w:color w:val="000000"/>
          <w:vertAlign w:val="baseline"/>
        </w:rPr>
      </w:pPr>
      <w:r w:rsidDel="00000000" w:rsidR="00000000" w:rsidRPr="00000000">
        <w:rPr>
          <w:rFonts w:ascii="Arial Bold" w:cs="Arial Bold" w:eastAsia="Arial Bold" w:hAnsi="Arial Bold"/>
          <w:smallCaps w:val="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3F">
      <w:pPr>
        <w:keepNext w:val="1"/>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fails to notify the Relevant Authority of a Financial Distress Event in accordance with Paragraph 3.4; </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Relevant Authority and the Supplier fail to agree a Financial Distress Service Continuity Plan (or any updated Financial Distress Service Continuity Plan) in accordance with Paragraphs 4.3 to 4.5; and/or</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fails to comply with the terms of the Financial Distress Service Continuity Plan (or any updated Financial Distress Service Continuity Plan) in accordance with Paragraph 4.6.3.</w:t>
      </w:r>
      <w:r w:rsidDel="00000000" w:rsidR="00000000" w:rsidRPr="00000000">
        <w:rPr>
          <w:rtl w:val="0"/>
        </w:rPr>
      </w:r>
    </w:p>
    <w:p w:rsidR="00000000" w:rsidDel="00000000" w:rsidP="00000000" w:rsidRDefault="00000000" w:rsidRPr="00000000" w14:paraId="00000143">
      <w:pPr>
        <w:keepNext w:val="1"/>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If the Contract is terminated in accordance with Paragraph 5.1,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144">
      <w:pPr>
        <w:keepNext w:val="1"/>
        <w:keepLines w:val="0"/>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708.6614173228347" w:right="0" w:hanging="708.6614173228347"/>
        <w:jc w:val="left"/>
        <w:rPr>
          <w:b w:val="0"/>
          <w:i w:val="0"/>
          <w:smallCaps w:val="1"/>
          <w:strike w:val="0"/>
          <w:color w:val="000000"/>
          <w:vertAlign w:val="baseline"/>
        </w:rPr>
      </w:pPr>
      <w:r w:rsidDel="00000000" w:rsidR="00000000" w:rsidRPr="00000000">
        <w:rPr>
          <w:rFonts w:ascii="Arial Bold" w:cs="Arial Bold" w:eastAsia="Arial Bold" w:hAnsi="Arial Bold"/>
          <w:smallCaps w:val="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Relevant Authority 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7"/>
      <w:bookmarkEnd w:id="7"/>
      <w:r w:rsidDel="00000000" w:rsidR="00000000" w:rsidRPr="00000000">
        <w:br w:type="page"/>
      </w:r>
      <w:r w:rsidDel="00000000" w:rsidR="00000000" w:rsidRPr="00000000">
        <w:rPr>
          <w:rtl w:val="0"/>
        </w:rPr>
      </w:r>
    </w:p>
    <w:p w:rsidR="00000000" w:rsidDel="00000000" w:rsidP="00000000" w:rsidRDefault="00000000" w:rsidRPr="00000000" w14:paraId="0000014B">
      <w:pPr>
        <w:keepNext w:val="1"/>
        <w:keepLines w:val="0"/>
        <w:pageBreakBefore w:val="0"/>
        <w:widowControl w:val="1"/>
        <w:pBdr>
          <w:top w:space="0" w:sz="0" w:val="nil"/>
          <w:left w:space="0" w:sz="0" w:val="nil"/>
          <w:bottom w:space="0" w:sz="0" w:val="nil"/>
          <w:right w:space="0" w:sz="0" w:val="nil"/>
          <w:between w:space="0" w:sz="0" w:val="nil"/>
        </w:pBdr>
        <w:spacing w:after="240" w:before="0" w:line="240" w:lineRule="auto"/>
        <w:ind w:left="0" w:right="0" w:firstLine="426"/>
        <w:jc w:val="left"/>
        <w:rPr>
          <w:rFonts w:ascii="Arial" w:cs="Arial" w:eastAsia="Arial" w:hAnsi="Arial"/>
          <w:b w:val="0"/>
          <w:sz w:val="36"/>
          <w:szCs w:val="36"/>
        </w:rPr>
      </w:pPr>
      <w:r w:rsidDel="00000000" w:rsidR="00000000" w:rsidRPr="00000000">
        <w:rPr>
          <w:rFonts w:ascii="Arial" w:cs="Arial" w:eastAsia="Arial" w:hAnsi="Arial"/>
          <w:sz w:val="36"/>
          <w:szCs w:val="36"/>
          <w:rtl w:val="0"/>
        </w:rPr>
        <w:t xml:space="preserve">Appendix 1: RATING AGENCIES</w:t>
      </w:r>
      <w:r w:rsidDel="00000000" w:rsidR="00000000" w:rsidRPr="00000000">
        <w:rPr>
          <w:rtl w:val="0"/>
        </w:rPr>
      </w:r>
    </w:p>
    <w:p w:rsidR="00000000" w:rsidDel="00000000" w:rsidP="00000000" w:rsidRDefault="00000000" w:rsidRPr="00000000" w14:paraId="0000014C">
      <w:pPr>
        <w:keepNext w:val="1"/>
        <w:spacing w:after="120" w:before="240" w:lineRule="auto"/>
        <w:ind w:left="142" w:firstLine="0"/>
        <w:jc w:val="left"/>
        <w:rPr>
          <w:rFonts w:ascii="Arial" w:cs="Arial" w:eastAsia="Arial" w:hAnsi="Arial"/>
          <w:sz w:val="24"/>
          <w:szCs w:val="24"/>
        </w:rPr>
      </w:pPr>
      <w:hyperlink r:id="rId11">
        <w:r w:rsidDel="00000000" w:rsidR="00000000" w:rsidRPr="00000000">
          <w:rPr>
            <w:rFonts w:ascii="Arial" w:cs="Arial" w:eastAsia="Arial" w:hAnsi="Arial"/>
            <w:sz w:val="24"/>
            <w:szCs w:val="24"/>
            <w:highlight w:val="white"/>
            <w:rtl w:val="0"/>
          </w:rPr>
          <w:t xml:space="preserve">Dun &amp; Bradstreet</w:t>
        </w:r>
      </w:hyperlink>
      <w:r w:rsidDel="00000000" w:rsidR="00000000" w:rsidRPr="00000000">
        <w:rPr>
          <w:rtl w:val="0"/>
        </w:rPr>
      </w:r>
    </w:p>
    <w:p w:rsidR="00000000" w:rsidDel="00000000" w:rsidP="00000000" w:rsidRDefault="00000000" w:rsidRPr="00000000" w14:paraId="0000014D">
      <w:pPr>
        <w:keepNext w:val="1"/>
        <w:keepLines w:val="0"/>
        <w:pageBreakBefore w:val="0"/>
        <w:widowControl w:val="1"/>
        <w:pBdr>
          <w:top w:space="0" w:sz="0" w:val="nil"/>
          <w:left w:space="0" w:sz="0" w:val="nil"/>
          <w:bottom w:space="0" w:sz="0" w:val="nil"/>
          <w:right w:space="0" w:sz="0" w:val="nil"/>
          <w:between w:space="0" w:sz="0" w:val="nil"/>
        </w:pBdr>
        <w:spacing w:after="240" w:before="0" w:line="240" w:lineRule="auto"/>
        <w:ind w:left="0" w:right="0" w:firstLine="0"/>
        <w:jc w:val="left"/>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4E">
      <w:pPr>
        <w:keepNext w:val="1"/>
        <w:keepLines w:val="0"/>
        <w:pageBreakBefore w:val="0"/>
        <w:widowControl w:val="1"/>
        <w:pBdr>
          <w:top w:space="0" w:sz="0" w:val="nil"/>
          <w:left w:space="0" w:sz="0" w:val="nil"/>
          <w:bottom w:space="0" w:sz="0" w:val="nil"/>
          <w:right w:space="0" w:sz="0" w:val="nil"/>
          <w:between w:space="0" w:sz="0" w:val="nil"/>
        </w:pBdr>
        <w:spacing w:after="240" w:before="0" w:line="240" w:lineRule="auto"/>
        <w:ind w:left="0" w:right="0" w:firstLine="426"/>
        <w:jc w:val="left"/>
        <w:rPr>
          <w:rFonts w:ascii="Arial" w:cs="Arial" w:eastAsia="Arial" w:hAnsi="Arial"/>
          <w:b w:val="0"/>
          <w:sz w:val="24"/>
          <w:szCs w:val="24"/>
        </w:rPr>
      </w:pPr>
      <w:r w:rsidDel="00000000" w:rsidR="00000000" w:rsidRPr="00000000">
        <w:rPr>
          <w:rFonts w:ascii="Arial" w:cs="Arial" w:eastAsia="Arial" w:hAnsi="Arial"/>
          <w:smallCaps w:val="0"/>
          <w:sz w:val="24"/>
          <w:szCs w:val="24"/>
          <w:rtl w:val="0"/>
        </w:rPr>
        <w:t xml:space="preserve">Part 1: Current Rating</w:t>
      </w:r>
      <w:r w:rsidDel="00000000" w:rsidR="00000000" w:rsidRPr="00000000">
        <w:rPr>
          <w:rtl w:val="0"/>
        </w:rPr>
      </w:r>
    </w:p>
    <w:p w:rsidR="00000000" w:rsidDel="00000000" w:rsidP="00000000" w:rsidRDefault="00000000" w:rsidRPr="00000000" w14:paraId="0000014F">
      <w:pPr>
        <w:spacing w:after="200" w:line="276" w:lineRule="auto"/>
        <w:jc w:val="left"/>
        <w:rPr>
          <w:rFonts w:ascii="Arial" w:cs="Arial" w:eastAsia="Arial" w:hAnsi="Arial"/>
          <w:sz w:val="24"/>
          <w:szCs w:val="24"/>
        </w:rPr>
      </w:pPr>
      <w:r w:rsidDel="00000000" w:rsidR="00000000" w:rsidRPr="00000000">
        <w:rPr>
          <w:rtl w:val="0"/>
        </w:rPr>
      </w:r>
    </w:p>
    <w:tbl>
      <w:tblPr>
        <w:tblStyle w:val="Table8"/>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50">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51">
            <w:pPr>
              <w:keepNext w:val="1"/>
              <w:spacing w:after="120" w:before="240" w:lineRule="auto"/>
              <w:ind w:left="142" w:right="-586.7716535433067"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52">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53">
            <w:pPr>
              <w:keepNext w:val="1"/>
              <w:spacing w:after="120" w:before="240" w:lineRule="auto"/>
              <w:ind w:left="142" w:right="-586.771653543306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p>
        </w:tc>
      </w:tr>
      <w:tr>
        <w:trPr>
          <w:cantSplit w:val="0"/>
          <w:tblHeader w:val="0"/>
        </w:trPr>
        <w:tc>
          <w:tcPr>
            <w:shd w:fill="ffffff" w:val="clear"/>
          </w:tcPr>
          <w:p w:rsidR="00000000" w:rsidDel="00000000" w:rsidP="00000000" w:rsidRDefault="00000000" w:rsidRPr="00000000" w14:paraId="00000154">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[Guarantor]</w:t>
            </w:r>
          </w:p>
        </w:tc>
        <w:tc>
          <w:tcPr>
            <w:shd w:fill="ffffff" w:val="clear"/>
          </w:tcPr>
          <w:p w:rsidR="00000000" w:rsidDel="00000000" w:rsidP="00000000" w:rsidRDefault="00000000" w:rsidRPr="00000000" w14:paraId="00000155">
            <w:pPr>
              <w:keepNext w:val="1"/>
              <w:spacing w:after="120" w:before="240" w:lineRule="auto"/>
              <w:ind w:left="142" w:right="-586.771653543306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56">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7322834645671"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p>
        </w:tc>
      </w:tr>
    </w:tbl>
    <w:p w:rsidR="00000000" w:rsidDel="00000000" w:rsidP="00000000" w:rsidRDefault="00000000" w:rsidRPr="00000000" w14:paraId="00000158">
      <w:pPr>
        <w:spacing w:after="200" w:line="276" w:lineRule="auto"/>
        <w:jc w:val="left"/>
        <w:rPr>
          <w:rFonts w:ascii="Arial" w:cs="Arial" w:eastAsia="Arial" w:hAnsi="Arial"/>
          <w:sz w:val="24"/>
          <w:szCs w:val="24"/>
        </w:rPr>
      </w:pPr>
      <w:r w:rsidDel="00000000" w:rsidR="00000000" w:rsidRPr="00000000">
        <w:rPr>
          <w:rtl w:val="0"/>
        </w:rPr>
      </w:r>
    </w:p>
    <w:sectPr>
      <w:headerReference r:id="rId12" w:type="default"/>
      <w:footerReference r:id="rId13" w:type="default"/>
      <w:footerReference r:id="rId14"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tabs>
        <w:tab w:val="center" w:leader="none" w:pos="4513"/>
        <w:tab w:val="right" w:leader="none"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tabs>
        <w:tab w:val="center" w:leader="none" w:pos="4513"/>
        <w:tab w:val="right" w:leader="none" w:pos="9026"/>
      </w:tabs>
      <w:spacing w:after="0" w:before="0" w:line="240" w:lineRule="auto"/>
      <w:ind w:left="0" w:right="0" w:firstLine="0"/>
      <w:jc w:val="both"/>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0">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tabs>
        <w:tab w:val="center" w:leader="none" w:pos="4513"/>
        <w:tab w:val="right" w:leader="none"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tabs>
        <w:tab w:val="center" w:leader="none" w:pos="4513"/>
        <w:tab w:val="right" w:leader="none"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1417.3228346456694" w:firstLine="0"/>
      </w:pPr>
      <w:rPr>
        <w:rFonts w:ascii="Arial" w:cs="Arial" w:eastAsia="Arial" w:hAnsi="Arial"/>
        <w:b w:val="0"/>
        <w:i w:val="0"/>
        <w:smallCaps w:val="0"/>
        <w:strike w:val="0"/>
        <w:color w:val="000000"/>
        <w:sz w:val="26"/>
        <w:szCs w:val="26"/>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E12774"/>
    <w:pPr>
      <w:keepNext w:val="1"/>
      <w:keepLines w:val="1"/>
      <w:spacing w:after="120" w:before="480"/>
      <w:outlineLvl w:val="0"/>
      <w:pPrChange w:author="Author" w:id="0" w:date="2022-02-09T15:51:00Z">
        <w:pPr>
          <w:keepNext w:val="1"/>
          <w:keepLines w:val="1"/>
          <w:overflowPunct w:val="0"/>
          <w:autoSpaceDE w:val="0"/>
          <w:autoSpaceDN w:val="0"/>
          <w:adjustRightInd w:val="0"/>
          <w:spacing w:after="120" w:before="480"/>
          <w:jc w:val="both"/>
          <w:textAlignment w:val="baseline"/>
          <w:outlineLvl w:val="0"/>
        </w:pPr>
      </w:pPrChange>
    </w:pPr>
    <w:rPr>
      <w:b w:val="1"/>
      <w:sz w:val="48"/>
      <w:szCs w:val="48"/>
      <w:lang w:eastAsia="en-GB"/>
      <w:rPrChange w:author="Author" w:id="0" w:date="2022-02-09T15:51:00Z">
        <w:rPr>
          <w:rFonts w:ascii="Calibri" w:cs="Arial" w:hAnsi="Calibri"/>
          <w:b w:val="1"/>
          <w:sz w:val="48"/>
          <w:szCs w:val="48"/>
          <w:lang w:bidi="ar-SA" w:eastAsia="en-GB" w:val="en-GB"/>
        </w:rPr>
      </w:rPrChange>
    </w:rPr>
  </w:style>
  <w:style w:type="paragraph" w:styleId="Heading2">
    <w:name w:val="heading 2"/>
    <w:basedOn w:val="Normal"/>
    <w:next w:val="Normal"/>
    <w:link w:val="Heading2Char"/>
    <w:rsid w:val="00E12774"/>
    <w:pPr>
      <w:keepNext w:val="1"/>
      <w:keepLines w:val="1"/>
      <w:spacing w:after="80" w:before="360"/>
      <w:outlineLvl w:val="1"/>
      <w:pPrChange w:author="Author" w:id="1" w:date="2022-02-09T15:51:00Z">
        <w:pPr>
          <w:keepNext w:val="1"/>
          <w:keepLines w:val="1"/>
          <w:overflowPunct w:val="0"/>
          <w:autoSpaceDE w:val="0"/>
          <w:autoSpaceDN w:val="0"/>
          <w:adjustRightInd w:val="0"/>
          <w:spacing w:after="80" w:before="360"/>
          <w:jc w:val="both"/>
          <w:textAlignment w:val="baseline"/>
          <w:outlineLvl w:val="1"/>
        </w:pPr>
      </w:pPrChange>
    </w:pPr>
    <w:rPr>
      <w:b w:val="1"/>
      <w:sz w:val="36"/>
      <w:szCs w:val="36"/>
      <w:lang w:eastAsia="en-GB"/>
      <w:rPrChange w:author="Author" w:id="1" w:date="2022-02-09T15:51:00Z">
        <w:rPr>
          <w:rFonts w:ascii="Calibri" w:cs="Arial" w:hAnsi="Calibri"/>
          <w:b w:val="1"/>
          <w:sz w:val="36"/>
          <w:szCs w:val="36"/>
          <w:lang w:bidi="ar-SA" w:eastAsia="en-GB" w:val="en-GB"/>
        </w:rPr>
      </w:rPrChange>
    </w:rPr>
  </w:style>
  <w:style w:type="paragraph" w:styleId="Heading3">
    <w:name w:val="heading 3"/>
    <w:basedOn w:val="Normal"/>
    <w:next w:val="Normal"/>
    <w:link w:val="Heading3Char"/>
    <w:rsid w:val="00E12774"/>
    <w:pPr>
      <w:keepNext w:val="1"/>
      <w:keepLines w:val="1"/>
      <w:spacing w:after="80" w:before="280"/>
      <w:outlineLvl w:val="2"/>
      <w:pPrChange w:author="Author" w:id="2" w:date="2022-02-09T15:51:00Z">
        <w:pPr>
          <w:keepNext w:val="1"/>
          <w:keepLines w:val="1"/>
          <w:overflowPunct w:val="0"/>
          <w:autoSpaceDE w:val="0"/>
          <w:autoSpaceDN w:val="0"/>
          <w:adjustRightInd w:val="0"/>
          <w:spacing w:after="80" w:before="280"/>
          <w:jc w:val="both"/>
          <w:textAlignment w:val="baseline"/>
          <w:outlineLvl w:val="2"/>
        </w:pPr>
      </w:pPrChange>
    </w:pPr>
    <w:rPr>
      <w:b w:val="1"/>
      <w:sz w:val="28"/>
      <w:szCs w:val="28"/>
      <w:lang w:eastAsia="en-GB"/>
      <w:rPrChange w:author="Author" w:id="2" w:date="2022-02-09T15:51:00Z">
        <w:rPr>
          <w:rFonts w:ascii="Calibri" w:cs="Arial" w:hAnsi="Calibri"/>
          <w:b w:val="1"/>
          <w:sz w:val="28"/>
          <w:szCs w:val="28"/>
          <w:lang w:bidi="ar-SA" w:eastAsia="en-GB" w:val="en-GB"/>
        </w:rPr>
      </w:rPrChange>
    </w:rPr>
  </w:style>
  <w:style w:type="paragraph" w:styleId="Heading4">
    <w:name w:val="heading 4"/>
    <w:basedOn w:val="Normal"/>
    <w:next w:val="Normal"/>
    <w:link w:val="Heading4Char"/>
    <w:rsid w:val="00E12774"/>
    <w:pPr>
      <w:keepNext w:val="1"/>
      <w:keepLines w:val="1"/>
      <w:spacing w:after="40" w:before="240"/>
      <w:outlineLvl w:val="3"/>
      <w:pPrChange w:author="Author" w:id="3" w:date="2022-02-09T15:51:00Z">
        <w:pPr>
          <w:keepNext w:val="1"/>
          <w:keepLines w:val="1"/>
          <w:overflowPunct w:val="0"/>
          <w:autoSpaceDE w:val="0"/>
          <w:autoSpaceDN w:val="0"/>
          <w:adjustRightInd w:val="0"/>
          <w:spacing w:after="40" w:before="240"/>
          <w:jc w:val="both"/>
          <w:textAlignment w:val="baseline"/>
          <w:outlineLvl w:val="3"/>
        </w:pPr>
      </w:pPrChange>
    </w:pPr>
    <w:rPr>
      <w:b w:val="1"/>
      <w:sz w:val="24"/>
      <w:szCs w:val="24"/>
      <w:lang w:eastAsia="en-GB"/>
      <w:rPrChange w:author="Author" w:id="3" w:date="2022-02-09T15:51:00Z">
        <w:rPr>
          <w:rFonts w:ascii="Calibri" w:cs="Arial" w:hAnsi="Calibri"/>
          <w:b w:val="1"/>
          <w:sz w:val="24"/>
          <w:szCs w:val="24"/>
          <w:lang w:bidi="ar-SA" w:eastAsia="en-GB" w:val="en-GB"/>
        </w:rPr>
      </w:rPrChange>
    </w:rPr>
  </w:style>
  <w:style w:type="paragraph" w:styleId="Heading5">
    <w:name w:val="heading 5"/>
    <w:basedOn w:val="Normal"/>
    <w:next w:val="Normal"/>
    <w:link w:val="Heading5Char"/>
    <w:rsid w:val="00E12774"/>
    <w:pPr>
      <w:keepNext w:val="1"/>
      <w:keepLines w:val="1"/>
      <w:spacing w:after="40" w:before="220"/>
      <w:outlineLvl w:val="4"/>
      <w:pPrChange w:author="Author" w:id="4" w:date="2022-02-09T15:51:00Z">
        <w:pPr>
          <w:keepNext w:val="1"/>
          <w:keepLines w:val="1"/>
          <w:overflowPunct w:val="0"/>
          <w:autoSpaceDE w:val="0"/>
          <w:autoSpaceDN w:val="0"/>
          <w:adjustRightInd w:val="0"/>
          <w:spacing w:after="40" w:before="220"/>
          <w:jc w:val="both"/>
          <w:textAlignment w:val="baseline"/>
          <w:outlineLvl w:val="4"/>
        </w:pPr>
      </w:pPrChange>
    </w:pPr>
    <w:rPr>
      <w:b w:val="1"/>
      <w:lang w:eastAsia="en-GB"/>
      <w:rPrChange w:author="Author" w:id="4" w:date="2022-02-09T15:51:00Z">
        <w:rPr>
          <w:rFonts w:ascii="Calibri" w:cs="Arial" w:hAnsi="Calibri"/>
          <w:b w:val="1"/>
          <w:sz w:val="22"/>
          <w:szCs w:val="22"/>
          <w:lang w:bidi="ar-SA" w:eastAsia="en-GB" w:val="en-GB"/>
        </w:rPr>
      </w:rPrChange>
    </w:rPr>
  </w:style>
  <w:style w:type="paragraph" w:styleId="Heading6">
    <w:name w:val="heading 6"/>
    <w:basedOn w:val="Normal"/>
    <w:next w:val="Normal"/>
    <w:link w:val="Heading6Char"/>
    <w:rsid w:val="00E12774"/>
    <w:pPr>
      <w:keepNext w:val="1"/>
      <w:keepLines w:val="1"/>
      <w:spacing w:after="40" w:before="200"/>
      <w:outlineLvl w:val="5"/>
      <w:pPrChange w:author="Author" w:id="5" w:date="2022-02-09T15:51:00Z">
        <w:pPr>
          <w:keepNext w:val="1"/>
          <w:keepLines w:val="1"/>
          <w:overflowPunct w:val="0"/>
          <w:autoSpaceDE w:val="0"/>
          <w:autoSpaceDN w:val="0"/>
          <w:adjustRightInd w:val="0"/>
          <w:spacing w:after="40" w:before="200"/>
          <w:jc w:val="both"/>
          <w:textAlignment w:val="baseline"/>
          <w:outlineLvl w:val="5"/>
        </w:pPr>
      </w:pPrChange>
    </w:pPr>
    <w:rPr>
      <w:b w:val="1"/>
      <w:sz w:val="20"/>
      <w:szCs w:val="20"/>
      <w:lang w:eastAsia="en-GB"/>
      <w:rPrChange w:author="Author" w:id="5" w:date="2022-02-09T15:51:00Z">
        <w:rPr>
          <w:rFonts w:ascii="Calibri" w:cs="Arial" w:hAnsi="Calibri"/>
          <w:b w:val="1"/>
          <w:lang w:bidi="ar-SA" w:eastAsia="en-GB" w:val="en-GB"/>
        </w:rPr>
      </w:rPrChange>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E12774"/>
    <w:pPr>
      <w:numPr>
        <w:numId w:val="2"/>
      </w:numPr>
      <w:tabs>
        <w:tab w:val="left" w:pos="142"/>
      </w:tabs>
      <w:overflowPunct w:val="1"/>
      <w:autoSpaceDE w:val="1"/>
      <w:autoSpaceDN w:val="1"/>
      <w:spacing w:before="120"/>
      <w:textAlignment w:val="auto"/>
      <w:outlineLvl w:val="1"/>
      <w:pPrChange w:author="Author" w:id="6" w:date="2022-02-09T15:51:00Z">
        <w:pPr>
          <w:numPr>
            <w:numId w:val="16"/>
          </w:numPr>
          <w:tabs>
            <w:tab w:val="left" w:pos="142"/>
          </w:tabs>
          <w:adjustRightInd w:val="0"/>
          <w:spacing w:after="240" w:before="120"/>
          <w:ind w:left="360" w:hanging="360"/>
          <w:jc w:val="both"/>
          <w:outlineLvl w:val="1"/>
        </w:pPr>
      </w:pPrChange>
    </w:pPr>
    <w:rPr>
      <w:rFonts w:eastAsia="STZhongsong"/>
      <w:b w:val="1"/>
      <w:caps w:val="1"/>
      <w:lang w:eastAsia="zh-CN"/>
      <w:rPrChange w:author="Author" w:id="6" w:date="2022-02-09T15:51:00Z">
        <w:rPr>
          <w:rFonts w:ascii="Calibri" w:cs="Arial" w:eastAsia="STZhongsong" w:hAnsi="Calibri"/>
          <w:b w:val="1"/>
          <w:caps w:val="1"/>
          <w:sz w:val="22"/>
          <w:szCs w:val="22"/>
          <w:lang w:bidi="ar-SA" w:eastAsia="zh-CN" w:val="en-GB"/>
        </w:rPr>
      </w:rPrChange>
    </w:rPr>
  </w:style>
  <w:style w:type="paragraph" w:styleId="GPSL3numberedclause" w:customStyle="1">
    <w:name w:val="GPS L3 numbered clause"/>
    <w:basedOn w:val="Normal"/>
    <w:link w:val="GPSL3numberedclauseChar"/>
    <w:qFormat w:val="1"/>
    <w:rsid w:val="00E12774"/>
    <w:pPr>
      <w:numPr>
        <w:ilvl w:val="2"/>
        <w:numId w:val="2"/>
      </w:numPr>
      <w:tabs>
        <w:tab w:val="left" w:pos="1985"/>
      </w:tabs>
      <w:overflowPunct w:val="1"/>
      <w:autoSpaceDE w:val="1"/>
      <w:autoSpaceDN w:val="1"/>
      <w:spacing w:after="120" w:before="120"/>
      <w:textAlignment w:val="auto"/>
      <w:pPrChange w:author="Author" w:id="7" w:date="2022-02-09T15:51:00Z">
        <w:pPr>
          <w:numPr>
            <w:ilvl w:val="2"/>
            <w:numId w:val="16"/>
          </w:numPr>
          <w:tabs>
            <w:tab w:val="left" w:pos="1985"/>
          </w:tabs>
          <w:adjustRightInd w:val="0"/>
          <w:spacing w:after="120" w:before="120"/>
          <w:ind w:left="1656" w:hanging="720"/>
          <w:jc w:val="both"/>
        </w:pPr>
      </w:pPrChange>
    </w:pPr>
    <w:rPr>
      <w:lang w:eastAsia="zh-CN"/>
      <w:rPrChange w:author="Author" w:id="7" w:date="2022-02-09T15:51:00Z">
        <w:rPr>
          <w:rFonts w:ascii="Calibri" w:cs="Arial" w:hAnsi="Calibri"/>
          <w:sz w:val="22"/>
          <w:szCs w:val="22"/>
          <w:lang w:bidi="ar-SA" w:eastAsia="zh-CN" w:val="en-GB"/>
        </w:rPr>
      </w:rPrChange>
    </w:rPr>
  </w:style>
  <w:style w:type="paragraph" w:styleId="GPSL4numberedclause" w:customStyle="1">
    <w:name w:val="GPS L4 numbered clause"/>
    <w:basedOn w:val="GPSL3numberedclause"/>
    <w:link w:val="GPSL4numberedclauseChar"/>
    <w:qFormat w:val="1"/>
    <w:rsid w:val="00E12774"/>
    <w:pPr>
      <w:numPr>
        <w:ilvl w:val="3"/>
      </w:numPr>
      <w:tabs>
        <w:tab w:val="clear" w:pos="1985"/>
      </w:tabs>
      <w:pPrChange w:author="Author" w:id="8" w:date="2022-02-09T15:51:00Z">
        <w:pPr>
          <w:numPr>
            <w:ilvl w:val="3"/>
            <w:numId w:val="16"/>
          </w:numPr>
          <w:adjustRightInd w:val="0"/>
          <w:spacing w:after="120" w:before="120"/>
          <w:ind w:left="2592" w:hanging="936"/>
          <w:jc w:val="both"/>
        </w:pPr>
      </w:pPrChange>
    </w:pPr>
    <w:rPr>
      <w:rPrChange w:author="Author" w:id="8" w:date="2022-02-09T15:51:00Z">
        <w:rPr>
          <w:rFonts w:ascii="Calibri" w:cs="Arial" w:hAnsi="Calibri"/>
          <w:sz w:val="22"/>
          <w:szCs w:val="22"/>
          <w:lang w:bidi="ar-SA" w:eastAsia="zh-CN" w:val="en-GB"/>
        </w:rPr>
      </w:rPrChange>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E12774"/>
    <w:pPr>
      <w:numPr>
        <w:ilvl w:val="1"/>
        <w:numId w:val="2"/>
      </w:numPr>
      <w:tabs>
        <w:tab w:val="left" w:pos="1134"/>
      </w:tabs>
      <w:overflowPunct w:val="1"/>
      <w:autoSpaceDE w:val="1"/>
      <w:autoSpaceDN w:val="1"/>
      <w:spacing w:after="120" w:before="120"/>
      <w:ind w:hanging="218"/>
      <w:textAlignment w:val="auto"/>
      <w:pPrChange w:author="Author" w:id="9" w:date="2022-02-09T15:51:00Z">
        <w:pPr>
          <w:numPr>
            <w:ilvl w:val="1"/>
            <w:numId w:val="16"/>
          </w:numPr>
          <w:tabs>
            <w:tab w:val="left" w:pos="1134"/>
          </w:tabs>
          <w:adjustRightInd w:val="0"/>
          <w:spacing w:after="120" w:before="120"/>
          <w:ind w:left="644" w:hanging="218"/>
          <w:jc w:val="both"/>
        </w:pPr>
      </w:pPrChange>
    </w:pPr>
    <w:rPr>
      <w:b w:val="1"/>
      <w:lang w:eastAsia="zh-CN"/>
      <w:rPrChange w:author="Author" w:id="9" w:date="2022-02-09T15:51:00Z">
        <w:rPr>
          <w:rFonts w:ascii="Calibri" w:cs="Arial" w:hAnsi="Calibri"/>
          <w:b w:val="1"/>
          <w:sz w:val="22"/>
          <w:szCs w:val="22"/>
          <w:lang w:bidi="ar-SA" w:eastAsia="zh-CN" w:val="en-GB"/>
        </w:rPr>
      </w:rPrChange>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E12774"/>
    <w:pPr>
      <w:numPr>
        <w:numId w:val="1"/>
      </w:numPr>
      <w:tabs>
        <w:tab w:val="left" w:pos="175"/>
      </w:tabs>
      <w:spacing w:after="120"/>
      <w:pPrChange w:author="Author" w:id="10" w:date="2022-02-09T15:51:00Z">
        <w:pPr>
          <w:numPr>
            <w:numId w:val="15"/>
          </w:numPr>
          <w:tabs>
            <w:tab w:val="left" w:pos="175"/>
          </w:tabs>
          <w:overflowPunct w:val="0"/>
          <w:autoSpaceDE w:val="0"/>
          <w:autoSpaceDN w:val="0"/>
          <w:adjustRightInd w:val="0"/>
          <w:spacing w:after="120"/>
          <w:ind w:left="170" w:hanging="170"/>
          <w:jc w:val="both"/>
          <w:textAlignment w:val="baseline"/>
        </w:pPr>
      </w:pPrChange>
    </w:pPr>
    <w:rPr>
      <w:rPrChange w:author="Author" w:id="10" w:date="2022-02-09T15:51:00Z">
        <w:rPr>
          <w:rFonts w:ascii="Calibri" w:cs="Arial" w:hAnsi="Calibri"/>
          <w:sz w:val="22"/>
          <w:szCs w:val="22"/>
          <w:lang w:bidi="ar-SA" w:eastAsia="en-GB" w:val="en-GB"/>
        </w:rPr>
      </w:rPrChange>
    </w:r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E12774"/>
    <w:pPr>
      <w:tabs>
        <w:tab w:val="clear" w:pos="1134"/>
      </w:tabs>
      <w:ind w:hanging="360"/>
      <w:pPrChange w:author="Author" w:id="11" w:date="2022-02-09T15:51:00Z">
        <w:pPr>
          <w:numPr>
            <w:ilvl w:val="1"/>
            <w:numId w:val="16"/>
          </w:numPr>
          <w:adjustRightInd w:val="0"/>
          <w:spacing w:after="120" w:before="120"/>
          <w:ind w:left="936" w:hanging="576"/>
          <w:jc w:val="both"/>
        </w:pPr>
      </w:pPrChange>
    </w:pPr>
    <w:rPr>
      <w:b w:val="0"/>
      <w:rPrChange w:author="Author" w:id="11" w:date="2022-02-09T15:51:00Z">
        <w:rPr>
          <w:rFonts w:ascii="Calibri" w:cs="Arial" w:hAnsi="Calibri"/>
          <w:sz w:val="22"/>
          <w:szCs w:val="22"/>
          <w:lang w:bidi="ar-SA" w:eastAsia="zh-CN" w:val="en-GB"/>
        </w:rPr>
      </w:rPrChange>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E12774"/>
    <w:pPr>
      <w:keepNext w:val="1"/>
      <w:keepLines w:val="1"/>
      <w:spacing w:after="120" w:before="480"/>
      <w:pPrChange w:author="Author" w:id="12" w:date="2022-02-09T15:51:00Z">
        <w:pPr>
          <w:keepNext w:val="1"/>
          <w:keepLines w:val="1"/>
          <w:overflowPunct w:val="0"/>
          <w:autoSpaceDE w:val="0"/>
          <w:autoSpaceDN w:val="0"/>
          <w:adjustRightInd w:val="0"/>
          <w:spacing w:after="120" w:before="480"/>
          <w:jc w:val="both"/>
          <w:textAlignment w:val="baseline"/>
        </w:pPr>
      </w:pPrChange>
    </w:pPr>
    <w:rPr>
      <w:b w:val="1"/>
      <w:sz w:val="72"/>
      <w:szCs w:val="72"/>
      <w:lang w:eastAsia="en-GB"/>
      <w:rPrChange w:author="Author" w:id="12" w:date="2022-02-09T15:51:00Z">
        <w:rPr>
          <w:rFonts w:ascii="Calibri" w:cs="Arial" w:hAnsi="Calibri"/>
          <w:b w:val="1"/>
          <w:sz w:val="72"/>
          <w:szCs w:val="72"/>
          <w:lang w:bidi="ar-SA" w:eastAsia="en-GB" w:val="en-GB"/>
        </w:rPr>
      </w:rPrChange>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E12774"/>
    <w:pPr>
      <w:keepNext w:val="1"/>
      <w:keepLines w:val="1"/>
      <w:spacing w:after="80" w:before="360"/>
      <w:pPrChange w:author="Author" w:id="13" w:date="2022-02-09T15:51:00Z">
        <w:pPr>
          <w:keepNext w:val="1"/>
          <w:keepLines w:val="1"/>
          <w:overflowPunct w:val="0"/>
          <w:autoSpaceDE w:val="0"/>
          <w:autoSpaceDN w:val="0"/>
          <w:adjustRightInd w:val="0"/>
          <w:spacing w:after="80" w:before="360"/>
          <w:jc w:val="both"/>
          <w:textAlignment w:val="baseline"/>
        </w:pPr>
      </w:pPrChange>
    </w:pPr>
    <w:rPr>
      <w:rFonts w:ascii="Georgia" w:cs="Georgia" w:eastAsia="Georgia" w:hAnsi="Georgia"/>
      <w:i w:val="1"/>
      <w:color w:val="666666"/>
      <w:sz w:val="48"/>
      <w:szCs w:val="48"/>
      <w:lang w:eastAsia="en-GB"/>
      <w:rPrChange w:author="Author" w:id="13" w:date="2022-02-09T15:51:00Z">
        <w:rPr>
          <w:rFonts w:ascii="Georgia" w:cs="Georgia" w:eastAsia="Georgia" w:hAnsi="Georgia"/>
          <w:i w:val="1"/>
          <w:color w:val="666666"/>
          <w:sz w:val="48"/>
          <w:szCs w:val="48"/>
          <w:lang w:bidi="ar-SA" w:eastAsia="en-GB" w:val="en-GB"/>
        </w:rPr>
      </w:rPrChange>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dnb.co.uk/" TargetMode="External"/><Relationship Id="rId10" Type="http://schemas.openxmlformats.org/officeDocument/2006/relationships/image" Target="media/image2.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yperlink" Target="https://www.dnb.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Kk8bFVBe9RLofqx2RgvcR5z/KQ==">AMUW2mW4lYpU0KLwPcZDWg3NKlmHQgEX7YHXvbYAQmO0aZX6K3BfHyVF9meGp9bPevckIX9XmGzI6zAlwuUYFQ5ZYumbkLwlHSY7BRISxjkwZ6dl5fIEfYRM2xxggViP+HVT04zg5BpmucZZOBg53SchDmp4uyoHizgI2Svr+Bf5bxEWYEEcPHsZ7yAvYTX+C51tHork0v3kVo9kLeLCuH493pDJmOy3M4Dmcyj+xXuda517ay9xth0=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2022-11-08T14:18:00Z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